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3299" w14:textId="77777777" w:rsidR="00601A0B" w:rsidRDefault="00000000">
      <w:pPr>
        <w:jc w:val="left"/>
        <w:rPr>
          <w:rFonts w:ascii="黑体" w:eastAsia="黑体" w:hAnsi="黑体"/>
          <w:color w:val="000000" w:themeColor="text1"/>
          <w:sz w:val="32"/>
          <w:szCs w:val="32"/>
        </w:rPr>
      </w:pPr>
      <w:r>
        <w:rPr>
          <w:rFonts w:ascii="黑体" w:eastAsia="黑体" w:hAnsi="黑体" w:hint="eastAsia"/>
          <w:color w:val="000000" w:themeColor="text1"/>
          <w:sz w:val="32"/>
          <w:szCs w:val="32"/>
        </w:rPr>
        <w:t>附件1</w:t>
      </w:r>
    </w:p>
    <w:p w14:paraId="7FEDFE28" w14:textId="77777777" w:rsidR="00601A0B" w:rsidRDefault="00000000">
      <w:pPr>
        <w:jc w:val="center"/>
        <w:rPr>
          <w:rFonts w:ascii="方正小标宋简体" w:eastAsia="方正小标宋简体"/>
          <w:color w:val="000000" w:themeColor="text1"/>
          <w:sz w:val="36"/>
          <w:szCs w:val="36"/>
        </w:rPr>
      </w:pPr>
      <w:r>
        <w:rPr>
          <w:rFonts w:ascii="方正小标宋简体" w:eastAsia="方正小标宋简体" w:hint="eastAsia"/>
          <w:color w:val="000000" w:themeColor="text1"/>
          <w:sz w:val="36"/>
          <w:szCs w:val="36"/>
        </w:rPr>
        <w:t>哈尔滨工程大学2023年度研究生教育教学改革研究项目指南（征求意见稿）</w:t>
      </w:r>
    </w:p>
    <w:p w14:paraId="683C37EB" w14:textId="77777777" w:rsidR="00601A0B" w:rsidRDefault="00000000">
      <w:pPr>
        <w:numPr>
          <w:ilvl w:val="0"/>
          <w:numId w:val="1"/>
        </w:numPr>
        <w:ind w:firstLineChars="200" w:firstLine="640"/>
        <w:outlineLvl w:val="0"/>
        <w:rPr>
          <w:rFonts w:ascii="黑体" w:eastAsia="黑体" w:hAnsi="黑体"/>
          <w:color w:val="000000" w:themeColor="text1"/>
          <w:sz w:val="32"/>
          <w:szCs w:val="32"/>
        </w:rPr>
      </w:pPr>
      <w:r>
        <w:rPr>
          <w:rFonts w:ascii="黑体" w:eastAsia="黑体" w:hAnsi="黑体" w:hint="eastAsia"/>
          <w:color w:val="000000" w:themeColor="text1"/>
          <w:sz w:val="32"/>
          <w:szCs w:val="32"/>
        </w:rPr>
        <w:t>博士生质量提升专项研究</w:t>
      </w:r>
    </w:p>
    <w:p w14:paraId="693A2815" w14:textId="77777777" w:rsidR="00601A0B" w:rsidRDefault="00000000">
      <w:pPr>
        <w:numPr>
          <w:ilvl w:val="0"/>
          <w:numId w:val="2"/>
        </w:numPr>
        <w:ind w:firstLineChars="200" w:firstLine="643"/>
        <w:outlineLvl w:val="1"/>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高质量博士生导师队伍建设改革</w:t>
      </w:r>
    </w:p>
    <w:p w14:paraId="7720952D" w14:textId="116D8E8F" w:rsidR="00601A0B" w:rsidRDefault="00000000">
      <w:pPr>
        <w:numPr>
          <w:ilvl w:val="0"/>
          <w:numId w:val="3"/>
        </w:numPr>
        <w:spacing w:line="56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导师（团队）指导能力建设与实践</w:t>
      </w:r>
      <w:r>
        <w:rPr>
          <w:rFonts w:ascii="宋体" w:eastAsia="仿宋_GB2312" w:hAnsi="宋体" w:cs="仿宋" w:hint="eastAsia"/>
          <w:color w:val="000000" w:themeColor="text1"/>
          <w:kern w:val="0"/>
          <w:sz w:val="32"/>
          <w:szCs w:val="32"/>
        </w:rPr>
        <w:t>。探索提升研究生导师指导能力、落实研究生导师立德树人职责、夯实导师第一责任人职责等方面的有效途径。构建科学合理的研究生导师培训机制。探索以</w:t>
      </w:r>
      <w:r>
        <w:rPr>
          <w:rFonts w:ascii="宋体" w:eastAsia="仿宋_GB2312" w:hAnsi="宋体" w:cs="仿宋"/>
          <w:color w:val="000000" w:themeColor="text1"/>
          <w:kern w:val="0"/>
          <w:sz w:val="32"/>
          <w:szCs w:val="32"/>
        </w:rPr>
        <w:t>导师招生资格审核改革</w:t>
      </w:r>
      <w:r>
        <w:rPr>
          <w:rFonts w:ascii="宋体" w:eastAsia="仿宋_GB2312" w:hAnsi="宋体" w:cs="仿宋" w:hint="eastAsia"/>
          <w:color w:val="000000" w:themeColor="text1"/>
          <w:kern w:val="0"/>
          <w:sz w:val="32"/>
          <w:szCs w:val="32"/>
        </w:rPr>
        <w:t>促进导师指导能力提升的有效方法。探索“跨学科、跨学校、跨行业”联合导师团队建设与联合指导，鼓励学生跨学科学习和研究。</w:t>
      </w:r>
    </w:p>
    <w:p w14:paraId="3807E09A" w14:textId="3302CDAE" w:rsidR="00601A0B" w:rsidRDefault="00000000">
      <w:pPr>
        <w:numPr>
          <w:ilvl w:val="0"/>
          <w:numId w:val="3"/>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研究生导师（团队）评聘、评价制度改革与实践。</w:t>
      </w:r>
      <w:r>
        <w:rPr>
          <w:rFonts w:ascii="宋体" w:eastAsia="仿宋_GB2312" w:hAnsi="宋体" w:cs="仿宋" w:hint="eastAsia"/>
          <w:color w:val="000000" w:themeColor="text1"/>
          <w:kern w:val="0"/>
          <w:sz w:val="32"/>
          <w:szCs w:val="32"/>
        </w:rPr>
        <w:t>探索研究生导师分类评聘、分类考核评价体系，健全岗位选拔、调整和退出机制。创新行业产业导师选聘制度和岗位设立机制，探索专业学位研究生双导师制的双向考核评价体系。试点导师岗位设置与招生资格分离，加强导师岗位管理，完善岗位培训制度。</w:t>
      </w:r>
    </w:p>
    <w:p w14:paraId="21403429" w14:textId="77777777" w:rsidR="00601A0B" w:rsidRDefault="00000000">
      <w:pPr>
        <w:numPr>
          <w:ilvl w:val="0"/>
          <w:numId w:val="2"/>
        </w:numPr>
        <w:ind w:firstLineChars="200" w:firstLine="643"/>
        <w:outlineLvl w:val="1"/>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博士生招生管理改革</w:t>
      </w:r>
    </w:p>
    <w:p w14:paraId="371DD5EC" w14:textId="0D995BDD" w:rsidR="00601A0B" w:rsidRDefault="00000000">
      <w:pPr>
        <w:numPr>
          <w:ilvl w:val="0"/>
          <w:numId w:val="3"/>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创新研究生招生质量评价体系。</w:t>
      </w:r>
      <w:r>
        <w:rPr>
          <w:rFonts w:ascii="宋体" w:eastAsia="仿宋_GB2312" w:hAnsi="宋体" w:cs="仿宋" w:hint="eastAsia"/>
          <w:color w:val="000000" w:themeColor="text1"/>
          <w:kern w:val="0"/>
          <w:sz w:val="32"/>
          <w:szCs w:val="32"/>
        </w:rPr>
        <w:t>围绕招生计划分配、初试、复试等招生过程，分析和探索招生质量评价要素、评价机制和评价方法。探索招生资源优化配给策略。围绕考察人员构成、考察内容设计、考察结果使用等开展研究，创新评价体系和质量提升体制机制。引入多元化的选拔方式，探索国家急需领域研究生招生质量评价机制。</w:t>
      </w:r>
    </w:p>
    <w:p w14:paraId="0EA48E16" w14:textId="77777777" w:rsidR="00601A0B" w:rsidRDefault="00000000">
      <w:pPr>
        <w:numPr>
          <w:ilvl w:val="0"/>
          <w:numId w:val="2"/>
        </w:numPr>
        <w:ind w:firstLineChars="200" w:firstLine="643"/>
        <w:outlineLvl w:val="1"/>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强化培养过程管理和监督改革</w:t>
      </w:r>
    </w:p>
    <w:p w14:paraId="59EBA32E" w14:textId="4F65E3FB" w:rsidR="00601A0B" w:rsidRDefault="00000000">
      <w:pPr>
        <w:numPr>
          <w:ilvl w:val="0"/>
          <w:numId w:val="3"/>
        </w:numPr>
        <w:spacing w:line="56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lastRenderedPageBreak/>
        <w:t>依托大平台、大项目、大团队，创新博士研究生培养模式。</w:t>
      </w:r>
      <w:r>
        <w:rPr>
          <w:rFonts w:ascii="宋体" w:eastAsia="仿宋_GB2312" w:hAnsi="宋体" w:cs="仿宋" w:hint="eastAsia"/>
          <w:color w:val="000000" w:themeColor="text1"/>
          <w:kern w:val="0"/>
          <w:sz w:val="32"/>
          <w:szCs w:val="32"/>
        </w:rPr>
        <w:t>依托国家</w:t>
      </w:r>
      <w:r>
        <w:rPr>
          <w:rFonts w:ascii="宋体" w:eastAsia="仿宋_GB2312" w:hAnsi="宋体" w:cs="仿宋" w:hint="eastAsia"/>
          <w:color w:val="000000" w:themeColor="text1"/>
          <w:kern w:val="0"/>
          <w:sz w:val="32"/>
          <w:szCs w:val="32"/>
        </w:rPr>
        <w:t>/</w:t>
      </w:r>
      <w:r>
        <w:rPr>
          <w:rFonts w:ascii="宋体" w:eastAsia="仿宋_GB2312" w:hAnsi="宋体" w:cs="仿宋" w:hint="eastAsia"/>
          <w:color w:val="000000" w:themeColor="text1"/>
          <w:kern w:val="0"/>
          <w:sz w:val="32"/>
          <w:szCs w:val="32"/>
        </w:rPr>
        <w:t>国防重大项目和重点实验室等平台，超常规开展博士生选拔与培养模式改革，重塑培养体系和培养过程，改革学术成果评价标准。探索依托大平台、大任务、大团队的拔尖创新人才长周期培养模式，有效落实教育、科技、人才一体化。</w:t>
      </w:r>
    </w:p>
    <w:p w14:paraId="3FDFF699" w14:textId="12E804F4" w:rsidR="00601A0B" w:rsidRDefault="00000000">
      <w:pPr>
        <w:numPr>
          <w:ilvl w:val="0"/>
          <w:numId w:val="3"/>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聚焦重大科学问题和关键领域，构建多学科、复合型的拔尖创新人才培养新模式。</w:t>
      </w:r>
      <w:r>
        <w:rPr>
          <w:rFonts w:ascii="宋体" w:eastAsia="仿宋_GB2312" w:hAnsi="宋体" w:cs="仿宋" w:hint="eastAsia"/>
          <w:color w:val="000000" w:themeColor="text1"/>
          <w:kern w:val="0"/>
          <w:sz w:val="32"/>
          <w:szCs w:val="32"/>
        </w:rPr>
        <w:t>探索面向未来科技创新领军人才的多学科协同培养机制。探索拓宽学生知识面和提高学生综合素质、解决问题能力和创新精神的有效途径，创新研究生协同化个性化培养模式。</w:t>
      </w:r>
    </w:p>
    <w:p w14:paraId="0E043216" w14:textId="6A12C647" w:rsidR="00601A0B" w:rsidRDefault="00000000">
      <w:pPr>
        <w:numPr>
          <w:ilvl w:val="0"/>
          <w:numId w:val="3"/>
        </w:numPr>
        <w:spacing w:line="56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探索研究生创新实践能力的提升举措。</w:t>
      </w:r>
      <w:r>
        <w:rPr>
          <w:rFonts w:ascii="宋体" w:eastAsia="仿宋_GB2312" w:hAnsi="宋体" w:cs="仿宋" w:hint="eastAsia"/>
          <w:color w:val="000000" w:themeColor="text1"/>
          <w:kern w:val="0"/>
          <w:sz w:val="32"/>
          <w:szCs w:val="32"/>
        </w:rPr>
        <w:t>以“研究生创新实践系列大赛”为依托，探索建设“以赛促教、以教助赛、以赛促学、以学强赛”实践教学创新体系。</w:t>
      </w:r>
    </w:p>
    <w:p w14:paraId="52023C0D" w14:textId="6D4D7020" w:rsidR="00601A0B" w:rsidRDefault="00000000">
      <w:pPr>
        <w:numPr>
          <w:ilvl w:val="0"/>
          <w:numId w:val="3"/>
        </w:numPr>
        <w:spacing w:line="56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探索数字化、信息化育人模式，建设数字化育人平台</w:t>
      </w:r>
      <w:r>
        <w:rPr>
          <w:rFonts w:ascii="宋体" w:eastAsia="仿宋_GB2312" w:hAnsi="宋体" w:cs="仿宋" w:hint="eastAsia"/>
          <w:color w:val="000000" w:themeColor="text1"/>
          <w:kern w:val="0"/>
          <w:sz w:val="32"/>
          <w:szCs w:val="32"/>
        </w:rPr>
        <w:t>。开展教育信息化与案例式、研讨式、项目式教学模式融合机制研究。开展研究生培养过程中现代教育方式的有效融入方式，形成“智慧</w:t>
      </w:r>
      <w:r>
        <w:rPr>
          <w:rFonts w:ascii="宋体" w:eastAsia="仿宋_GB2312" w:hAnsi="宋体" w:cs="仿宋" w:hint="eastAsia"/>
          <w:color w:val="000000" w:themeColor="text1"/>
          <w:kern w:val="0"/>
          <w:sz w:val="32"/>
          <w:szCs w:val="32"/>
        </w:rPr>
        <w:t>+</w:t>
      </w:r>
      <w:r>
        <w:rPr>
          <w:rFonts w:ascii="宋体" w:eastAsia="仿宋_GB2312" w:hAnsi="宋体" w:cs="仿宋" w:hint="eastAsia"/>
          <w:color w:val="000000" w:themeColor="text1"/>
          <w:kern w:val="0"/>
          <w:sz w:val="32"/>
          <w:szCs w:val="32"/>
        </w:rPr>
        <w:t>”型研究生教学新模式。</w:t>
      </w:r>
    </w:p>
    <w:p w14:paraId="3AC69232" w14:textId="4ED36FC3" w:rsidR="00601A0B" w:rsidRDefault="00000000">
      <w:pPr>
        <w:numPr>
          <w:ilvl w:val="0"/>
          <w:numId w:val="3"/>
        </w:numPr>
        <w:spacing w:line="56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探索研究生培养过程质量监管新机制。</w:t>
      </w:r>
      <w:r>
        <w:rPr>
          <w:rFonts w:ascii="宋体" w:eastAsia="仿宋_GB2312" w:hAnsi="宋体" w:cs="仿宋" w:hint="eastAsia"/>
          <w:color w:val="000000" w:themeColor="text1"/>
          <w:kern w:val="0"/>
          <w:sz w:val="32"/>
          <w:szCs w:val="32"/>
        </w:rPr>
        <w:t>分类探讨学术型和专业型研究生培养过程质量管理方法，围绕教学、实践、开题、课题研究与答辩等关键环节，探讨研究生培养全周期管理新模式。强化导师、学院、学校各方管理职责，构建研究生培养多方协同管理新机制。健全博士研究生分流</w:t>
      </w:r>
      <w:r>
        <w:rPr>
          <w:rFonts w:ascii="宋体" w:eastAsia="仿宋_GB2312" w:hAnsi="宋体" w:cs="仿宋" w:hint="eastAsia"/>
          <w:color w:val="000000" w:themeColor="text1"/>
          <w:kern w:val="0"/>
          <w:sz w:val="32"/>
          <w:szCs w:val="32"/>
        </w:rPr>
        <w:t>-</w:t>
      </w:r>
      <w:r>
        <w:rPr>
          <w:rFonts w:ascii="宋体" w:eastAsia="仿宋_GB2312" w:hAnsi="宋体" w:cs="仿宋" w:hint="eastAsia"/>
          <w:color w:val="000000" w:themeColor="text1"/>
          <w:kern w:val="0"/>
          <w:sz w:val="32"/>
          <w:szCs w:val="32"/>
        </w:rPr>
        <w:t>淘汰机制</w:t>
      </w:r>
    </w:p>
    <w:p w14:paraId="6EE348F9" w14:textId="20737AA9" w:rsidR="00601A0B" w:rsidRDefault="00000000">
      <w:pPr>
        <w:numPr>
          <w:ilvl w:val="0"/>
          <w:numId w:val="3"/>
        </w:numPr>
        <w:spacing w:line="56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聚焦全球前沿学术问题，培养学生全球胜任力。</w:t>
      </w:r>
      <w:r>
        <w:rPr>
          <w:rFonts w:ascii="宋体" w:eastAsia="仿宋_GB2312" w:hAnsi="宋体" w:cs="仿宋" w:hint="eastAsia"/>
          <w:color w:val="000000" w:themeColor="text1"/>
          <w:kern w:val="0"/>
          <w:sz w:val="32"/>
          <w:szCs w:val="32"/>
        </w:rPr>
        <w:t>探索</w:t>
      </w:r>
      <w:r>
        <w:rPr>
          <w:rFonts w:ascii="宋体" w:eastAsia="仿宋_GB2312" w:hAnsi="宋体" w:cs="仿宋" w:hint="eastAsia"/>
          <w:color w:val="000000" w:themeColor="text1"/>
          <w:kern w:val="0"/>
          <w:sz w:val="32"/>
          <w:szCs w:val="32"/>
        </w:rPr>
        <w:lastRenderedPageBreak/>
        <w:t>与全球高水平大学深度合作，加强联合培养、学位互授。探索合理引进国外高层次专家开展国际联合培养路径，培育代表国际前沿趋势的学科增长点。</w:t>
      </w:r>
    </w:p>
    <w:p w14:paraId="20737D3B" w14:textId="77777777" w:rsidR="00601A0B" w:rsidRDefault="00000000">
      <w:pPr>
        <w:numPr>
          <w:ilvl w:val="0"/>
          <w:numId w:val="2"/>
        </w:numPr>
        <w:ind w:firstLineChars="200" w:firstLine="643"/>
        <w:outlineLvl w:val="1"/>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组织保障体系建设改革</w:t>
      </w:r>
    </w:p>
    <w:p w14:paraId="0998152E" w14:textId="093571AD" w:rsidR="00601A0B" w:rsidRDefault="00000000">
      <w:pPr>
        <w:numPr>
          <w:ilvl w:val="0"/>
          <w:numId w:val="3"/>
        </w:numPr>
        <w:spacing w:line="56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开展一流研究型大学博士生培养制度体系研究。</w:t>
      </w:r>
      <w:r>
        <w:rPr>
          <w:rFonts w:ascii="宋体" w:eastAsia="仿宋_GB2312" w:hAnsi="宋体" w:cs="仿宋" w:hint="eastAsia"/>
          <w:color w:val="000000" w:themeColor="text1"/>
          <w:kern w:val="0"/>
          <w:sz w:val="32"/>
          <w:szCs w:val="32"/>
        </w:rPr>
        <w:t>分析一流研究型大学导师队伍、生源质量、培养过程、评价体系、组织保障等对培养质量有重要影响的要素，建立导师—招生—培养—评价—组织保障与培养质量的关联性，探索完备博士生培养制度体系的构成。</w:t>
      </w:r>
    </w:p>
    <w:p w14:paraId="2A7149E6" w14:textId="6256A9E0" w:rsidR="00601A0B" w:rsidRDefault="00000000">
      <w:pPr>
        <w:numPr>
          <w:ilvl w:val="0"/>
          <w:numId w:val="4"/>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学术学位</w:t>
      </w:r>
      <w:r>
        <w:rPr>
          <w:rFonts w:ascii="宋体" w:eastAsia="仿宋_GB2312" w:hAnsi="宋体" w:cs="仿宋"/>
          <w:b/>
          <w:bCs/>
          <w:color w:val="000000" w:themeColor="text1"/>
          <w:kern w:val="0"/>
          <w:sz w:val="32"/>
          <w:szCs w:val="32"/>
        </w:rPr>
        <w:t>、专业学位</w:t>
      </w:r>
      <w:r>
        <w:rPr>
          <w:rFonts w:ascii="宋体" w:eastAsia="仿宋_GB2312" w:hAnsi="宋体" w:cs="仿宋" w:hint="eastAsia"/>
          <w:b/>
          <w:bCs/>
          <w:color w:val="000000" w:themeColor="text1"/>
          <w:kern w:val="0"/>
          <w:sz w:val="32"/>
          <w:szCs w:val="32"/>
        </w:rPr>
        <w:t>授权点的布局优化研究。</w:t>
      </w:r>
      <w:r>
        <w:rPr>
          <w:rFonts w:ascii="宋体" w:eastAsia="仿宋_GB2312" w:hAnsi="宋体" w:cs="仿宋"/>
          <w:color w:val="000000" w:themeColor="text1"/>
          <w:kern w:val="0"/>
          <w:sz w:val="32"/>
          <w:szCs w:val="32"/>
        </w:rPr>
        <w:t>研究学术</w:t>
      </w:r>
      <w:r>
        <w:rPr>
          <w:rFonts w:ascii="宋体" w:eastAsia="仿宋_GB2312" w:hAnsi="宋体" w:cs="仿宋" w:hint="eastAsia"/>
          <w:color w:val="000000" w:themeColor="text1"/>
          <w:kern w:val="0"/>
          <w:sz w:val="32"/>
          <w:szCs w:val="32"/>
        </w:rPr>
        <w:t>学位</w:t>
      </w:r>
      <w:r>
        <w:rPr>
          <w:rFonts w:ascii="宋体" w:eastAsia="仿宋_GB2312" w:hAnsi="宋体" w:cs="仿宋"/>
          <w:color w:val="000000" w:themeColor="text1"/>
          <w:kern w:val="0"/>
          <w:sz w:val="32"/>
          <w:szCs w:val="32"/>
        </w:rPr>
        <w:t>、专业学位</w:t>
      </w:r>
      <w:r>
        <w:rPr>
          <w:rFonts w:ascii="宋体" w:eastAsia="仿宋_GB2312" w:hAnsi="宋体" w:cs="仿宋" w:hint="eastAsia"/>
          <w:color w:val="000000" w:themeColor="text1"/>
          <w:kern w:val="0"/>
          <w:sz w:val="32"/>
          <w:szCs w:val="32"/>
        </w:rPr>
        <w:t>授权点</w:t>
      </w:r>
      <w:r>
        <w:rPr>
          <w:rFonts w:ascii="宋体" w:eastAsia="仿宋_GB2312" w:hAnsi="宋体" w:cs="仿宋"/>
          <w:color w:val="000000" w:themeColor="text1"/>
          <w:kern w:val="0"/>
          <w:sz w:val="32"/>
          <w:szCs w:val="32"/>
        </w:rPr>
        <w:t>动态监测和评价</w:t>
      </w:r>
      <w:r>
        <w:rPr>
          <w:rFonts w:ascii="宋体" w:eastAsia="仿宋_GB2312" w:hAnsi="宋体" w:cs="仿宋" w:hint="eastAsia"/>
          <w:color w:val="000000" w:themeColor="text1"/>
          <w:kern w:val="0"/>
          <w:sz w:val="32"/>
          <w:szCs w:val="32"/>
        </w:rPr>
        <w:t>方法</w:t>
      </w:r>
      <w:r>
        <w:rPr>
          <w:rFonts w:ascii="宋体" w:eastAsia="仿宋_GB2312" w:hAnsi="宋体" w:cs="仿宋"/>
          <w:color w:val="000000" w:themeColor="text1"/>
          <w:kern w:val="0"/>
          <w:sz w:val="32"/>
          <w:szCs w:val="32"/>
        </w:rPr>
        <w:t>，探索常态化</w:t>
      </w:r>
      <w:r>
        <w:rPr>
          <w:rFonts w:ascii="宋体" w:eastAsia="仿宋_GB2312" w:hAnsi="宋体" w:cs="仿宋" w:hint="eastAsia"/>
          <w:color w:val="000000" w:themeColor="text1"/>
          <w:kern w:val="0"/>
          <w:sz w:val="32"/>
          <w:szCs w:val="32"/>
        </w:rPr>
        <w:t>的学科优化</w:t>
      </w:r>
      <w:r>
        <w:rPr>
          <w:rFonts w:ascii="宋体" w:eastAsia="仿宋_GB2312" w:hAnsi="宋体" w:cs="仿宋"/>
          <w:color w:val="000000" w:themeColor="text1"/>
          <w:kern w:val="0"/>
          <w:sz w:val="32"/>
          <w:szCs w:val="32"/>
        </w:rPr>
        <w:t>调整机制。围绕国务院学位委员会学位点合格评估工作，结合周期合格评估、专项合格评估、专业学位评估等，研究学位点建设质量</w:t>
      </w:r>
      <w:r>
        <w:rPr>
          <w:rFonts w:ascii="宋体" w:eastAsia="仿宋_GB2312" w:hAnsi="宋体" w:cs="仿宋" w:hint="eastAsia"/>
          <w:color w:val="000000" w:themeColor="text1"/>
          <w:kern w:val="0"/>
          <w:sz w:val="32"/>
          <w:szCs w:val="32"/>
        </w:rPr>
        <w:t>评价</w:t>
      </w:r>
      <w:r>
        <w:rPr>
          <w:rFonts w:ascii="宋体" w:eastAsia="仿宋_GB2312" w:hAnsi="宋体" w:cs="仿宋"/>
          <w:color w:val="000000" w:themeColor="text1"/>
          <w:kern w:val="0"/>
          <w:sz w:val="32"/>
          <w:szCs w:val="32"/>
        </w:rPr>
        <w:t>体系，探讨学位点评估指标科学合理设置、评估结果使用等相关方法。</w:t>
      </w:r>
    </w:p>
    <w:p w14:paraId="572CBB45" w14:textId="31BFE0C6" w:rsidR="00601A0B" w:rsidRDefault="00000000">
      <w:pPr>
        <w:numPr>
          <w:ilvl w:val="0"/>
          <w:numId w:val="4"/>
        </w:numPr>
        <w:spacing w:line="520" w:lineRule="exact"/>
        <w:ind w:firstLineChars="200" w:firstLine="643"/>
        <w:rPr>
          <w:rFonts w:ascii="仿宋_GB2312" w:eastAsia="仿宋_GB2312" w:hAnsi="黑体"/>
          <w:color w:val="000000" w:themeColor="text1"/>
          <w:sz w:val="30"/>
          <w:szCs w:val="30"/>
        </w:rPr>
      </w:pPr>
      <w:r>
        <w:rPr>
          <w:rFonts w:ascii="宋体" w:eastAsia="仿宋_GB2312" w:hAnsi="宋体" w:cs="仿宋" w:hint="eastAsia"/>
          <w:b/>
          <w:bCs/>
          <w:color w:val="000000" w:themeColor="text1"/>
          <w:kern w:val="0"/>
          <w:sz w:val="32"/>
          <w:szCs w:val="32"/>
        </w:rPr>
        <w:t>健全人才培养评价体系。</w:t>
      </w:r>
      <w:r>
        <w:rPr>
          <w:rFonts w:ascii="宋体" w:eastAsia="仿宋_GB2312" w:hAnsi="宋体" w:cs="仿宋" w:hint="eastAsia"/>
          <w:color w:val="000000" w:themeColor="text1"/>
          <w:kern w:val="0"/>
          <w:sz w:val="32"/>
          <w:szCs w:val="32"/>
        </w:rPr>
        <w:t>破除研究生教育唯论文问题，构建多元化论文评价标准。完善学位论文抽检制度，提高抽检的科学化、精细化水平，探讨抽检结果的综合利用方法。完善学位论文评阅答辩的信息公开和监督保障机制。探索招生、培养、就业联动的质量评价体系。</w:t>
      </w:r>
    </w:p>
    <w:p w14:paraId="6A19212D" w14:textId="77777777" w:rsidR="00601A0B" w:rsidRDefault="00000000">
      <w:pPr>
        <w:numPr>
          <w:ilvl w:val="0"/>
          <w:numId w:val="1"/>
        </w:numPr>
        <w:ind w:firstLineChars="200" w:firstLine="640"/>
        <w:outlineLvl w:val="0"/>
        <w:rPr>
          <w:rFonts w:ascii="黑体" w:eastAsia="黑体" w:hAnsi="黑体"/>
          <w:color w:val="000000" w:themeColor="text1"/>
          <w:sz w:val="32"/>
          <w:szCs w:val="32"/>
        </w:rPr>
      </w:pPr>
      <w:r>
        <w:rPr>
          <w:rFonts w:ascii="黑体" w:eastAsia="黑体" w:hAnsi="黑体" w:hint="eastAsia"/>
          <w:color w:val="000000" w:themeColor="text1"/>
          <w:sz w:val="32"/>
          <w:szCs w:val="32"/>
        </w:rPr>
        <w:t>工程硕博士改革专项研究</w:t>
      </w:r>
    </w:p>
    <w:p w14:paraId="611AB6C1" w14:textId="77777777" w:rsidR="00601A0B" w:rsidRDefault="00000000">
      <w:pPr>
        <w:numPr>
          <w:ilvl w:val="0"/>
          <w:numId w:val="5"/>
        </w:numPr>
        <w:ind w:firstLineChars="200" w:firstLine="643"/>
        <w:outlineLvl w:val="1"/>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工程硕博士培养模式创新</w:t>
      </w:r>
    </w:p>
    <w:p w14:paraId="58E1EA2C" w14:textId="291EE313"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探索校企联合育人实践平台建设。</w:t>
      </w:r>
      <w:r>
        <w:rPr>
          <w:rFonts w:ascii="宋体" w:eastAsia="仿宋_GB2312" w:hAnsi="宋体" w:cs="仿宋" w:hint="eastAsia"/>
          <w:color w:val="000000" w:themeColor="text1"/>
          <w:kern w:val="0"/>
          <w:sz w:val="32"/>
          <w:szCs w:val="32"/>
        </w:rPr>
        <w:t>探索与大院大所建立平台级合作关系，创新校企联合培养基地运行机制。探索和搭建多样化产教融合培养实践平台。</w:t>
      </w:r>
    </w:p>
    <w:p w14:paraId="6DE16E93" w14:textId="20FA0CE5"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lastRenderedPageBreak/>
        <w:t>聚焦海洋动力的零碳化、数字化和智能化，探索跨学科高端工程人才培养新模式</w:t>
      </w:r>
      <w:r>
        <w:rPr>
          <w:rFonts w:ascii="宋体" w:eastAsia="仿宋_GB2312" w:hAnsi="宋体" w:cs="仿宋" w:hint="eastAsia"/>
          <w:color w:val="000000" w:themeColor="text1"/>
          <w:kern w:val="0"/>
          <w:sz w:val="32"/>
          <w:szCs w:val="32"/>
        </w:rPr>
        <w:t>。探索校企深度融合的科研与人才培养耦合机制，创新企业导师和学科导师的联合指导途径，优化课程体系，创新跨学科工程实践方式与考核评价标准。探索海洋动力技术创新引领的跨学科工程人才培养理论和体系，构建海洋动力领域高端工程技术人才培养模式。</w:t>
      </w:r>
    </w:p>
    <w:p w14:paraId="7C5C0060" w14:textId="33CD817D"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探索多元化工程硕博士培养机制。</w:t>
      </w:r>
      <w:r>
        <w:rPr>
          <w:rFonts w:ascii="宋体" w:eastAsia="仿宋_GB2312" w:hAnsi="宋体" w:cs="仿宋" w:hint="eastAsia"/>
          <w:color w:val="000000" w:themeColor="text1"/>
          <w:kern w:val="0"/>
          <w:sz w:val="32"/>
          <w:szCs w:val="32"/>
        </w:rPr>
        <w:t>围绕校企课程共建、联合教学、联合指导、联合成果评价等环节，探索校企深度合作的新方式。引入质量监督管理体系，规范校企联合培养过程，探索“培养有计划、过程有管理、结果可追溯、成果能应用”的培养模式。强化学校、企业双方职责，探索兼顾学生、导师、学校和企业四方共赢的新举措和新机制。</w:t>
      </w:r>
    </w:p>
    <w:p w14:paraId="70875031" w14:textId="6DED5925"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聚焦</w:t>
      </w:r>
      <w:bookmarkStart w:id="0" w:name="_Hlk148363380"/>
      <w:r>
        <w:rPr>
          <w:rFonts w:ascii="宋体" w:eastAsia="仿宋_GB2312" w:hAnsi="宋体" w:cs="仿宋" w:hint="eastAsia"/>
          <w:b/>
          <w:bCs/>
          <w:color w:val="000000" w:themeColor="text1"/>
          <w:kern w:val="0"/>
          <w:sz w:val="32"/>
          <w:szCs w:val="32"/>
        </w:rPr>
        <w:t>卡脖子</w:t>
      </w:r>
      <w:bookmarkEnd w:id="0"/>
      <w:r>
        <w:rPr>
          <w:rFonts w:ascii="宋体" w:eastAsia="仿宋_GB2312" w:hAnsi="宋体" w:cs="仿宋" w:hint="eastAsia"/>
          <w:b/>
          <w:bCs/>
          <w:color w:val="000000" w:themeColor="text1"/>
          <w:kern w:val="0"/>
          <w:sz w:val="32"/>
          <w:szCs w:val="32"/>
        </w:rPr>
        <w:t>技术领域，创新校企联培模式。</w:t>
      </w:r>
      <w:r>
        <w:rPr>
          <w:rFonts w:ascii="宋体" w:eastAsia="仿宋_GB2312" w:hAnsi="宋体" w:cs="仿宋" w:hint="eastAsia"/>
          <w:color w:val="000000" w:themeColor="text1"/>
          <w:kern w:val="0"/>
          <w:sz w:val="32"/>
          <w:szCs w:val="32"/>
        </w:rPr>
        <w:t>厘清“卡脖子”技术联合攻关贯穿校企联合培养全过程的难点和堵点，围绕高层次工程人才培养目标，探索工程硕博士解决企业关键核心问题能力的提升方案。</w:t>
      </w:r>
    </w:p>
    <w:p w14:paraId="121C689B" w14:textId="4581DE3F" w:rsidR="00601A0B" w:rsidRDefault="00000000">
      <w:pPr>
        <w:numPr>
          <w:ilvl w:val="0"/>
          <w:numId w:val="6"/>
        </w:numPr>
        <w:spacing w:line="520" w:lineRule="exact"/>
        <w:ind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创新工程硕博校企协同培养模式与实践。</w:t>
      </w:r>
      <w:r>
        <w:rPr>
          <w:rFonts w:ascii="宋体" w:eastAsia="仿宋_GB2312" w:hAnsi="宋体" w:cs="仿宋" w:hint="eastAsia"/>
          <w:color w:val="000000" w:themeColor="text1"/>
          <w:kern w:val="0"/>
          <w:sz w:val="32"/>
          <w:szCs w:val="32"/>
        </w:rPr>
        <w:t>开展工程硕博士跨学科培养模式研究，探索工程硕博士参与复杂系统分析、工程技术创新和工程技术研发工作的创新机制。围绕培养方案制定、校企导师队伍建设、联合指导模式创新、课程实践平台搭建、考核标准制定、学位论文联合指导等，探索“</w:t>
      </w:r>
      <w:r>
        <w:rPr>
          <w:rFonts w:ascii="宋体" w:eastAsia="仿宋_GB2312" w:hAnsi="宋体" w:cs="仿宋"/>
          <w:color w:val="000000" w:themeColor="text1"/>
          <w:kern w:val="0"/>
          <w:sz w:val="32"/>
          <w:szCs w:val="32"/>
        </w:rPr>
        <w:t>招生</w:t>
      </w:r>
      <w:r>
        <w:rPr>
          <w:rFonts w:ascii="宋体" w:eastAsia="仿宋_GB2312" w:hAnsi="宋体" w:cs="仿宋" w:hint="eastAsia"/>
          <w:color w:val="000000" w:themeColor="text1"/>
          <w:kern w:val="0"/>
          <w:sz w:val="32"/>
          <w:szCs w:val="32"/>
        </w:rPr>
        <w:t>－培养－就业”一体化培养新模式。探索“定制式”人才培养方案</w:t>
      </w:r>
      <w:r>
        <w:rPr>
          <w:rFonts w:ascii="宋体" w:eastAsia="仿宋_GB2312" w:hAnsi="宋体" w:cs="仿宋" w:hint="eastAsia"/>
          <w:color w:val="000000" w:themeColor="text1"/>
          <w:kern w:val="0"/>
          <w:sz w:val="32"/>
          <w:szCs w:val="32"/>
        </w:rPr>
        <w:t>+</w:t>
      </w:r>
      <w:r>
        <w:rPr>
          <w:rFonts w:ascii="宋体" w:eastAsia="仿宋_GB2312" w:hAnsi="宋体" w:cs="仿宋" w:hint="eastAsia"/>
          <w:color w:val="000000" w:themeColor="text1"/>
          <w:kern w:val="0"/>
          <w:sz w:val="32"/>
          <w:szCs w:val="32"/>
        </w:rPr>
        <w:t>双导师的校企协同育人模式。</w:t>
      </w:r>
    </w:p>
    <w:p w14:paraId="66E5BF13" w14:textId="2237EFD4" w:rsidR="00601A0B" w:rsidRDefault="00000000">
      <w:pPr>
        <w:numPr>
          <w:ilvl w:val="0"/>
          <w:numId w:val="6"/>
        </w:numPr>
        <w:spacing w:line="520" w:lineRule="exact"/>
        <w:ind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专业学位研究生职业伦理教育。</w:t>
      </w:r>
      <w:r>
        <w:rPr>
          <w:rFonts w:ascii="宋体" w:eastAsia="仿宋_GB2312" w:hAnsi="宋体" w:cs="仿宋" w:hint="eastAsia"/>
          <w:color w:val="000000" w:themeColor="text1"/>
          <w:kern w:val="0"/>
          <w:sz w:val="32"/>
          <w:szCs w:val="32"/>
        </w:rPr>
        <w:t>将船海核学科职业伦理准则与社会道德和专业职业伦理教育相结合，探索培养研究生毕业后融入行业及社会所必需的专业素养和精神特质。</w:t>
      </w:r>
      <w:r>
        <w:rPr>
          <w:rFonts w:ascii="宋体" w:eastAsia="仿宋_GB2312" w:hAnsi="宋体" w:cs="仿宋" w:hint="eastAsia"/>
          <w:color w:val="000000" w:themeColor="text1"/>
          <w:kern w:val="0"/>
          <w:sz w:val="32"/>
          <w:szCs w:val="32"/>
        </w:rPr>
        <w:lastRenderedPageBreak/>
        <w:t>通过引入实际工程案例和问题，将企业的伦理、社会责任等价值观融入教材和授课内容。</w:t>
      </w:r>
    </w:p>
    <w:p w14:paraId="16E021A8" w14:textId="56F862CB"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将专业教育与思政教育有机结合，强化“双导师”思政育人作用。</w:t>
      </w:r>
      <w:r>
        <w:rPr>
          <w:rFonts w:ascii="宋体" w:eastAsia="仿宋_GB2312" w:hAnsi="宋体" w:cs="仿宋" w:hint="eastAsia"/>
          <w:color w:val="000000" w:themeColor="text1"/>
          <w:kern w:val="0"/>
          <w:sz w:val="32"/>
          <w:szCs w:val="32"/>
        </w:rPr>
        <w:t>探索校企共建党支部等校企协同思政育人模式。探索校企有效沟通与协作机制，企业导师可分享实际工程经验和伦理观念，与学术导师形成互补。探索校企联合评估标准，监测学生在思政方面的发展，包括道德品质、社会责任感等。</w:t>
      </w:r>
    </w:p>
    <w:p w14:paraId="2F77F722" w14:textId="77777777" w:rsidR="00601A0B" w:rsidRDefault="00000000">
      <w:pPr>
        <w:numPr>
          <w:ilvl w:val="0"/>
          <w:numId w:val="5"/>
        </w:numPr>
        <w:ind w:firstLineChars="200" w:firstLine="643"/>
        <w:outlineLvl w:val="1"/>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工程硕博士课程体系及教材建设与改革</w:t>
      </w:r>
    </w:p>
    <w:p w14:paraId="2850A9AC" w14:textId="11F2EA3A"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工程硕博士教学模式创新与实践。</w:t>
      </w:r>
      <w:r>
        <w:rPr>
          <w:rFonts w:ascii="宋体" w:eastAsia="仿宋_GB2312" w:hAnsi="宋体" w:cs="仿宋" w:hint="eastAsia"/>
          <w:color w:val="000000" w:themeColor="text1"/>
          <w:kern w:val="0"/>
          <w:sz w:val="32"/>
          <w:szCs w:val="32"/>
        </w:rPr>
        <w:t>探索工程硕博士案例式、研讨式和项目式教学方法。探索研究生教育过程中前沿技术和工程思维的校企协同教学新模式。聚焦工程和创新，探索专业学位基础类课程同工程实际结合新模式，重塑课程教学内容。借鉴国外工程师培养课程体系，探索法德工程师培养模式。</w:t>
      </w:r>
    </w:p>
    <w:p w14:paraId="3989E88D" w14:textId="2F107CCD"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开展“工业软件</w:t>
      </w:r>
      <w:r>
        <w:rPr>
          <w:rFonts w:ascii="宋体" w:eastAsia="仿宋_GB2312" w:hAnsi="宋体" w:cs="仿宋" w:hint="eastAsia"/>
          <w:b/>
          <w:bCs/>
          <w:color w:val="000000" w:themeColor="text1"/>
          <w:kern w:val="0"/>
          <w:sz w:val="32"/>
          <w:szCs w:val="32"/>
        </w:rPr>
        <w:t>+</w:t>
      </w:r>
      <w:r>
        <w:rPr>
          <w:rFonts w:ascii="宋体" w:eastAsia="仿宋_GB2312" w:hAnsi="宋体" w:cs="仿宋" w:hint="eastAsia"/>
          <w:b/>
          <w:bCs/>
          <w:color w:val="000000" w:themeColor="text1"/>
          <w:kern w:val="0"/>
          <w:sz w:val="32"/>
          <w:szCs w:val="32"/>
        </w:rPr>
        <w:t>”项目式、沉浸式教学探索。</w:t>
      </w:r>
      <w:r>
        <w:rPr>
          <w:rFonts w:ascii="宋体" w:eastAsia="仿宋_GB2312" w:hAnsi="宋体" w:cs="仿宋" w:hint="eastAsia"/>
          <w:color w:val="000000" w:themeColor="text1"/>
          <w:kern w:val="0"/>
          <w:sz w:val="32"/>
          <w:szCs w:val="32"/>
        </w:rPr>
        <w:t>开展“工业软件</w:t>
      </w:r>
      <w:r>
        <w:rPr>
          <w:rFonts w:ascii="宋体" w:eastAsia="仿宋_GB2312" w:hAnsi="宋体" w:cs="仿宋" w:hint="eastAsia"/>
          <w:color w:val="000000" w:themeColor="text1"/>
          <w:kern w:val="0"/>
          <w:sz w:val="32"/>
          <w:szCs w:val="32"/>
        </w:rPr>
        <w:t>+</w:t>
      </w:r>
      <w:r>
        <w:rPr>
          <w:rFonts w:ascii="宋体" w:eastAsia="仿宋_GB2312" w:hAnsi="宋体" w:cs="仿宋" w:hint="eastAsia"/>
          <w:color w:val="000000" w:themeColor="text1"/>
          <w:kern w:val="0"/>
          <w:sz w:val="32"/>
          <w:szCs w:val="32"/>
        </w:rPr>
        <w:t>”项目式、沉浸式教学，依托联合人才培养基地和工业软件龙头企业，推进师生沉浸式入企，提升研究生对国产工</w:t>
      </w:r>
      <w:r w:rsidRPr="009A497A">
        <w:rPr>
          <w:rFonts w:ascii="宋体" w:eastAsia="仿宋_GB2312" w:hAnsi="宋体" w:cs="仿宋" w:hint="eastAsia"/>
          <w:color w:val="000000" w:themeColor="text1"/>
          <w:kern w:val="0"/>
          <w:sz w:val="32"/>
          <w:szCs w:val="32"/>
        </w:rPr>
        <w:t>业软件工程应用能力、实践创新能力和关键技术攻关能力。探索开源在硕博研究生评价中的地位、意义与评价体系。</w:t>
      </w:r>
    </w:p>
    <w:p w14:paraId="7AAB447B" w14:textId="77777777" w:rsidR="00601A0B" w:rsidRDefault="00000000">
      <w:pPr>
        <w:numPr>
          <w:ilvl w:val="0"/>
          <w:numId w:val="5"/>
        </w:numPr>
        <w:ind w:firstLineChars="200" w:firstLine="643"/>
        <w:outlineLvl w:val="1"/>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工程硕博士培养质量监控与评价体系建设创新</w:t>
      </w:r>
    </w:p>
    <w:p w14:paraId="176F2C08" w14:textId="26909420"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探索构建“三协同”产教融合研究生培养质量保障机制</w:t>
      </w:r>
      <w:r>
        <w:rPr>
          <w:rFonts w:ascii="宋体" w:eastAsia="仿宋_GB2312" w:hAnsi="宋体" w:cs="仿宋" w:hint="eastAsia"/>
          <w:color w:val="000000" w:themeColor="text1"/>
          <w:kern w:val="0"/>
          <w:sz w:val="32"/>
          <w:szCs w:val="32"/>
        </w:rPr>
        <w:t>。以高校为主导构建产教融合研究生培养质量内部保障机制，以政府为主导构建培养质量外部监控机制，以用人单位为主导构建培养质量反馈机制，实现内外部质量保障机制</w:t>
      </w:r>
      <w:r>
        <w:rPr>
          <w:rFonts w:ascii="宋体" w:eastAsia="仿宋_GB2312" w:hAnsi="宋体" w:cs="仿宋" w:hint="eastAsia"/>
          <w:color w:val="000000" w:themeColor="text1"/>
          <w:kern w:val="0"/>
          <w:sz w:val="32"/>
          <w:szCs w:val="32"/>
        </w:rPr>
        <w:lastRenderedPageBreak/>
        <w:t>协同，促进产教融合研究生模式的长效运行。探索战略性新兴产业为导向的研究生人才培养模式索，满足战略性新兴产业高层次人才需求。</w:t>
      </w:r>
    </w:p>
    <w:p w14:paraId="1EF8E070" w14:textId="138F4653"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宋体" w:eastAsia="仿宋_GB2312" w:hAnsi="宋体" w:cs="仿宋" w:hint="eastAsia"/>
          <w:b/>
          <w:bCs/>
          <w:color w:val="000000" w:themeColor="text1"/>
          <w:kern w:val="0"/>
          <w:sz w:val="32"/>
          <w:szCs w:val="32"/>
        </w:rPr>
        <w:t>工程硕博士培养评价及监控体系的创新与实践。</w:t>
      </w:r>
      <w:r>
        <w:rPr>
          <w:rFonts w:ascii="宋体" w:eastAsia="仿宋_GB2312" w:hAnsi="宋体" w:cs="仿宋" w:hint="eastAsia"/>
          <w:color w:val="000000" w:themeColor="text1"/>
          <w:kern w:val="0"/>
          <w:sz w:val="32"/>
          <w:szCs w:val="32"/>
        </w:rPr>
        <w:t>探索建立毕业生创新成果（毕业要求）评议、学位论文评阅和答辩三级评价机制和流程规范。探索质量管理闭环构建方法，落实工程硕博士培养各环节和学位论文全方位、全流程管理，强化开题、中期考核等重点环节监控。</w:t>
      </w:r>
    </w:p>
    <w:p w14:paraId="0457E4AA" w14:textId="0E143797" w:rsidR="00601A0B" w:rsidRDefault="00000000">
      <w:pPr>
        <w:numPr>
          <w:ilvl w:val="0"/>
          <w:numId w:val="6"/>
        </w:numPr>
        <w:spacing w:line="520" w:lineRule="exact"/>
        <w:ind w:firstLineChars="200" w:firstLine="643"/>
        <w:rPr>
          <w:rFonts w:ascii="宋体" w:eastAsia="仿宋_GB2312" w:hAnsi="宋体" w:cs="仿宋"/>
          <w:color w:val="000000" w:themeColor="text1"/>
          <w:kern w:val="0"/>
          <w:sz w:val="32"/>
          <w:szCs w:val="32"/>
        </w:rPr>
      </w:pPr>
      <w:r>
        <w:rPr>
          <w:rFonts w:ascii="仿宋_GB2312" w:eastAsia="仿宋_GB2312" w:hAnsi="黑体" w:hint="eastAsia"/>
          <w:b/>
          <w:bCs/>
          <w:color w:val="000000" w:themeColor="text1"/>
          <w:sz w:val="32"/>
          <w:szCs w:val="32"/>
        </w:rPr>
        <w:t>工程硕士学位论文选题与多元评价体系建设。</w:t>
      </w:r>
      <w:r>
        <w:rPr>
          <w:rFonts w:ascii="仿宋" w:eastAsia="仿宋" w:cs="仿宋" w:hint="eastAsia"/>
          <w:color w:val="000000" w:themeColor="text1"/>
          <w:kern w:val="0"/>
          <w:sz w:val="32"/>
          <w:szCs w:val="32"/>
          <w:lang w:bidi="ar"/>
        </w:rPr>
        <w:t>开展工程硕士论文选题来源统计调研，建立工程硕士优秀论文案例库，探讨学术论文、发明专利、产品开发、技术方案、研究报告等创新成果对工程问题的应用价值，建立以解决工程问题为导向，企业专家深度参与的多元评价新体系，健全工程硕士教育评价机制，提升工程硕士培养质量。</w:t>
      </w:r>
    </w:p>
    <w:sectPr w:rsidR="00601A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6EC0" w14:textId="77777777" w:rsidR="00A04865" w:rsidRDefault="00A04865" w:rsidP="009A497A">
      <w:r>
        <w:separator/>
      </w:r>
    </w:p>
  </w:endnote>
  <w:endnote w:type="continuationSeparator" w:id="0">
    <w:p w14:paraId="31B25B8C" w14:textId="77777777" w:rsidR="00A04865" w:rsidRDefault="00A04865" w:rsidP="009A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78B7F" w14:textId="77777777" w:rsidR="00A04865" w:rsidRDefault="00A04865" w:rsidP="009A497A">
      <w:r>
        <w:separator/>
      </w:r>
    </w:p>
  </w:footnote>
  <w:footnote w:type="continuationSeparator" w:id="0">
    <w:p w14:paraId="331EA6D4" w14:textId="77777777" w:rsidR="00A04865" w:rsidRDefault="00A04865" w:rsidP="009A4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7497C"/>
    <w:multiLevelType w:val="singleLevel"/>
    <w:tmpl w:val="9FF7497C"/>
    <w:lvl w:ilvl="0">
      <w:start w:val="1"/>
      <w:numFmt w:val="chineseCounting"/>
      <w:suff w:val="nothing"/>
      <w:lvlText w:val="（%1）"/>
      <w:lvlJc w:val="left"/>
      <w:rPr>
        <w:rFonts w:hint="eastAsia"/>
      </w:rPr>
    </w:lvl>
  </w:abstractNum>
  <w:abstractNum w:abstractNumId="1" w15:restartNumberingAfterBreak="0">
    <w:nsid w:val="AFCF7F1E"/>
    <w:multiLevelType w:val="singleLevel"/>
    <w:tmpl w:val="AFCF7F1E"/>
    <w:lvl w:ilvl="0">
      <w:start w:val="1"/>
      <w:numFmt w:val="chineseCounting"/>
      <w:suff w:val="nothing"/>
      <w:lvlText w:val="%1、"/>
      <w:lvlJc w:val="left"/>
      <w:rPr>
        <w:rFonts w:hint="eastAsia"/>
      </w:rPr>
    </w:lvl>
  </w:abstractNum>
  <w:abstractNum w:abstractNumId="2" w15:restartNumberingAfterBreak="0">
    <w:nsid w:val="DAF66ADD"/>
    <w:multiLevelType w:val="singleLevel"/>
    <w:tmpl w:val="DAF66ADD"/>
    <w:lvl w:ilvl="0">
      <w:start w:val="1"/>
      <w:numFmt w:val="decimal"/>
      <w:suff w:val="space"/>
      <w:lvlText w:val="%1."/>
      <w:lvlJc w:val="left"/>
      <w:rPr>
        <w:rFonts w:hint="default"/>
        <w:b/>
        <w:bCs/>
      </w:rPr>
    </w:lvl>
  </w:abstractNum>
  <w:abstractNum w:abstractNumId="3" w15:restartNumberingAfterBreak="0">
    <w:nsid w:val="E5DFB894"/>
    <w:multiLevelType w:val="singleLevel"/>
    <w:tmpl w:val="E5DFB894"/>
    <w:lvl w:ilvl="0">
      <w:start w:val="11"/>
      <w:numFmt w:val="decimal"/>
      <w:suff w:val="space"/>
      <w:lvlText w:val="%1."/>
      <w:lvlJc w:val="left"/>
      <w:pPr>
        <w:ind w:left="0" w:firstLine="0"/>
      </w:pPr>
      <w:rPr>
        <w:rFonts w:hint="default"/>
        <w:b/>
        <w:bCs/>
      </w:rPr>
    </w:lvl>
  </w:abstractNum>
  <w:abstractNum w:abstractNumId="4" w15:restartNumberingAfterBreak="0">
    <w:nsid w:val="FB54CA55"/>
    <w:multiLevelType w:val="singleLevel"/>
    <w:tmpl w:val="FB54CA55"/>
    <w:lvl w:ilvl="0">
      <w:start w:val="1"/>
      <w:numFmt w:val="decimal"/>
      <w:suff w:val="space"/>
      <w:lvlText w:val="%1."/>
      <w:lvlJc w:val="left"/>
      <w:rPr>
        <w:rFonts w:hint="default"/>
        <w:b/>
        <w:bCs/>
      </w:rPr>
    </w:lvl>
  </w:abstractNum>
  <w:abstractNum w:abstractNumId="5" w15:restartNumberingAfterBreak="0">
    <w:nsid w:val="FFD1EC4B"/>
    <w:multiLevelType w:val="singleLevel"/>
    <w:tmpl w:val="FFD1EC4B"/>
    <w:lvl w:ilvl="0">
      <w:start w:val="1"/>
      <w:numFmt w:val="chineseCounting"/>
      <w:suff w:val="nothing"/>
      <w:lvlText w:val="（%1）"/>
      <w:lvlJc w:val="left"/>
      <w:rPr>
        <w:rFonts w:hint="eastAsia"/>
      </w:rPr>
    </w:lvl>
  </w:abstractNum>
  <w:num w:numId="1" w16cid:durableId="912592118">
    <w:abstractNumId w:val="1"/>
  </w:num>
  <w:num w:numId="2" w16cid:durableId="192619554">
    <w:abstractNumId w:val="5"/>
  </w:num>
  <w:num w:numId="3" w16cid:durableId="1894777896">
    <w:abstractNumId w:val="4"/>
  </w:num>
  <w:num w:numId="4" w16cid:durableId="2088645247">
    <w:abstractNumId w:val="3"/>
  </w:num>
  <w:num w:numId="5" w16cid:durableId="1249146342">
    <w:abstractNumId w:val="0"/>
  </w:num>
  <w:num w:numId="6" w16cid:durableId="125851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B82"/>
    <w:rsid w:val="8F3E9BB1"/>
    <w:rsid w:val="95EDABC7"/>
    <w:rsid w:val="97DF30E7"/>
    <w:rsid w:val="97FF0E8E"/>
    <w:rsid w:val="99D94850"/>
    <w:rsid w:val="9BC7E149"/>
    <w:rsid w:val="9F29CBEE"/>
    <w:rsid w:val="A29F4757"/>
    <w:rsid w:val="A57FD82D"/>
    <w:rsid w:val="A5F58FEF"/>
    <w:rsid w:val="A6776803"/>
    <w:rsid w:val="ADB711A6"/>
    <w:rsid w:val="AEFE74A3"/>
    <w:rsid w:val="AF79C84E"/>
    <w:rsid w:val="AF7F36BC"/>
    <w:rsid w:val="AFF71D70"/>
    <w:rsid w:val="AFFF5FCD"/>
    <w:rsid w:val="B3C78A7F"/>
    <w:rsid w:val="B3EBF18A"/>
    <w:rsid w:val="B6BF4211"/>
    <w:rsid w:val="B6C6E26A"/>
    <w:rsid w:val="B6EB73EC"/>
    <w:rsid w:val="B7DA0F13"/>
    <w:rsid w:val="B7F28192"/>
    <w:rsid w:val="B7FDC9BD"/>
    <w:rsid w:val="B97A7AB7"/>
    <w:rsid w:val="BA189DF6"/>
    <w:rsid w:val="BA3F0494"/>
    <w:rsid w:val="BB7D50B9"/>
    <w:rsid w:val="BBFB6F72"/>
    <w:rsid w:val="BBFEBAB8"/>
    <w:rsid w:val="BC7FB110"/>
    <w:rsid w:val="BCFF86CF"/>
    <w:rsid w:val="BDFB9854"/>
    <w:rsid w:val="BDFD3837"/>
    <w:rsid w:val="BE5F7C35"/>
    <w:rsid w:val="BEE6706B"/>
    <w:rsid w:val="BF7448AE"/>
    <w:rsid w:val="BFBB5302"/>
    <w:rsid w:val="BFF94A57"/>
    <w:rsid w:val="BFFC106A"/>
    <w:rsid w:val="CCFB849E"/>
    <w:rsid w:val="CDBBBD21"/>
    <w:rsid w:val="CEBFD5CE"/>
    <w:rsid w:val="CF7D335F"/>
    <w:rsid w:val="CF7D7FB7"/>
    <w:rsid w:val="CF7F93E5"/>
    <w:rsid w:val="CFBE9DFB"/>
    <w:rsid w:val="CFD76E39"/>
    <w:rsid w:val="CFF7CD3E"/>
    <w:rsid w:val="CFFB26F8"/>
    <w:rsid w:val="D3FF89A9"/>
    <w:rsid w:val="D4DF5DA0"/>
    <w:rsid w:val="D76D0936"/>
    <w:rsid w:val="D771DAF8"/>
    <w:rsid w:val="D7D81DEC"/>
    <w:rsid w:val="DBFF9051"/>
    <w:rsid w:val="DE57CFE9"/>
    <w:rsid w:val="DE6B9CBF"/>
    <w:rsid w:val="DEFC0AB4"/>
    <w:rsid w:val="DF13418E"/>
    <w:rsid w:val="E57F5FCE"/>
    <w:rsid w:val="E5DD779D"/>
    <w:rsid w:val="E77B29B0"/>
    <w:rsid w:val="E77C5DD7"/>
    <w:rsid w:val="E77F0F7B"/>
    <w:rsid w:val="E7FBA36A"/>
    <w:rsid w:val="E9FE1FEF"/>
    <w:rsid w:val="EBCFF440"/>
    <w:rsid w:val="EBF1BA82"/>
    <w:rsid w:val="ED5DDC28"/>
    <w:rsid w:val="EE7926D9"/>
    <w:rsid w:val="EF2FE031"/>
    <w:rsid w:val="EF52BD6F"/>
    <w:rsid w:val="EF7BBD8D"/>
    <w:rsid w:val="EFBB0120"/>
    <w:rsid w:val="EFF7795C"/>
    <w:rsid w:val="EFF7988B"/>
    <w:rsid w:val="EFF9F60D"/>
    <w:rsid w:val="EFFD9F4D"/>
    <w:rsid w:val="EFFF2FD9"/>
    <w:rsid w:val="F1DF79FC"/>
    <w:rsid w:val="F1FF7B41"/>
    <w:rsid w:val="F3E360DA"/>
    <w:rsid w:val="F5EF678A"/>
    <w:rsid w:val="F77AFAFC"/>
    <w:rsid w:val="F7CD991E"/>
    <w:rsid w:val="F7FB85C2"/>
    <w:rsid w:val="F7FD829A"/>
    <w:rsid w:val="F7FED506"/>
    <w:rsid w:val="F8D6885E"/>
    <w:rsid w:val="F8FFBC7D"/>
    <w:rsid w:val="F97F6E6E"/>
    <w:rsid w:val="FAA73D5E"/>
    <w:rsid w:val="FAF77FD6"/>
    <w:rsid w:val="FB7C512A"/>
    <w:rsid w:val="FBCA530D"/>
    <w:rsid w:val="FBF2C9BA"/>
    <w:rsid w:val="FBF58B81"/>
    <w:rsid w:val="FBF5D8A7"/>
    <w:rsid w:val="FBFB55A4"/>
    <w:rsid w:val="FCBDEA46"/>
    <w:rsid w:val="FCEF4D6E"/>
    <w:rsid w:val="FCFD2263"/>
    <w:rsid w:val="FDEF3468"/>
    <w:rsid w:val="FDFF49C7"/>
    <w:rsid w:val="FE77363C"/>
    <w:rsid w:val="FEDA9E7C"/>
    <w:rsid w:val="FEED30B6"/>
    <w:rsid w:val="FEFB7EB9"/>
    <w:rsid w:val="FEFF5D05"/>
    <w:rsid w:val="FF7D67B1"/>
    <w:rsid w:val="FF9FF072"/>
    <w:rsid w:val="FFAF6492"/>
    <w:rsid w:val="FFBB198D"/>
    <w:rsid w:val="FFCC5FAA"/>
    <w:rsid w:val="FFDEEF0F"/>
    <w:rsid w:val="FFDF4B39"/>
    <w:rsid w:val="FFE331C3"/>
    <w:rsid w:val="FFE65867"/>
    <w:rsid w:val="FFFB8464"/>
    <w:rsid w:val="FFFC4458"/>
    <w:rsid w:val="FFFF0A67"/>
    <w:rsid w:val="00000DB8"/>
    <w:rsid w:val="000152FA"/>
    <w:rsid w:val="00022DF4"/>
    <w:rsid w:val="000313B5"/>
    <w:rsid w:val="00033900"/>
    <w:rsid w:val="0006603E"/>
    <w:rsid w:val="0009488C"/>
    <w:rsid w:val="000C7DFE"/>
    <w:rsid w:val="001667D2"/>
    <w:rsid w:val="001778A9"/>
    <w:rsid w:val="001A1FF4"/>
    <w:rsid w:val="00217674"/>
    <w:rsid w:val="002A25D3"/>
    <w:rsid w:val="00350D94"/>
    <w:rsid w:val="0036504A"/>
    <w:rsid w:val="00376F52"/>
    <w:rsid w:val="003852F4"/>
    <w:rsid w:val="003A7957"/>
    <w:rsid w:val="003C745A"/>
    <w:rsid w:val="003F0106"/>
    <w:rsid w:val="004525E9"/>
    <w:rsid w:val="0049298A"/>
    <w:rsid w:val="00495C9C"/>
    <w:rsid w:val="004B2C80"/>
    <w:rsid w:val="004D71E6"/>
    <w:rsid w:val="004D7B2B"/>
    <w:rsid w:val="004E0A7E"/>
    <w:rsid w:val="00506D5E"/>
    <w:rsid w:val="005143A0"/>
    <w:rsid w:val="00527CD3"/>
    <w:rsid w:val="00564072"/>
    <w:rsid w:val="00567FC5"/>
    <w:rsid w:val="005745C6"/>
    <w:rsid w:val="00601A0B"/>
    <w:rsid w:val="00652692"/>
    <w:rsid w:val="00674A51"/>
    <w:rsid w:val="00674B7F"/>
    <w:rsid w:val="00675AC8"/>
    <w:rsid w:val="00683EE1"/>
    <w:rsid w:val="00690782"/>
    <w:rsid w:val="00691010"/>
    <w:rsid w:val="00795215"/>
    <w:rsid w:val="007A21AE"/>
    <w:rsid w:val="007D4B82"/>
    <w:rsid w:val="007D5F13"/>
    <w:rsid w:val="007E6706"/>
    <w:rsid w:val="00836B54"/>
    <w:rsid w:val="00843D8E"/>
    <w:rsid w:val="00851A02"/>
    <w:rsid w:val="00883EE5"/>
    <w:rsid w:val="00886141"/>
    <w:rsid w:val="008E3EBE"/>
    <w:rsid w:val="008E65E1"/>
    <w:rsid w:val="009178EE"/>
    <w:rsid w:val="00943FBE"/>
    <w:rsid w:val="00947458"/>
    <w:rsid w:val="00972F24"/>
    <w:rsid w:val="00996E35"/>
    <w:rsid w:val="009A497A"/>
    <w:rsid w:val="009A5EA8"/>
    <w:rsid w:val="009B3107"/>
    <w:rsid w:val="009B4D04"/>
    <w:rsid w:val="00A04865"/>
    <w:rsid w:val="00A302C4"/>
    <w:rsid w:val="00A671A2"/>
    <w:rsid w:val="00B023B0"/>
    <w:rsid w:val="00B46E6F"/>
    <w:rsid w:val="00BB4FE8"/>
    <w:rsid w:val="00BE6C89"/>
    <w:rsid w:val="00C12EA3"/>
    <w:rsid w:val="00C3242B"/>
    <w:rsid w:val="00C41C0D"/>
    <w:rsid w:val="00C949D7"/>
    <w:rsid w:val="00CD2AE7"/>
    <w:rsid w:val="00CF4B9D"/>
    <w:rsid w:val="00D008B0"/>
    <w:rsid w:val="00D31910"/>
    <w:rsid w:val="00D569BE"/>
    <w:rsid w:val="00DA65B2"/>
    <w:rsid w:val="00DB6DD9"/>
    <w:rsid w:val="00E11095"/>
    <w:rsid w:val="00E920C0"/>
    <w:rsid w:val="00E96888"/>
    <w:rsid w:val="00ED6768"/>
    <w:rsid w:val="00F721C7"/>
    <w:rsid w:val="00F836BC"/>
    <w:rsid w:val="00F946FF"/>
    <w:rsid w:val="00FA63EC"/>
    <w:rsid w:val="0BAF0633"/>
    <w:rsid w:val="0F6A0C18"/>
    <w:rsid w:val="0FDE4F6F"/>
    <w:rsid w:val="19D38779"/>
    <w:rsid w:val="1AF781F9"/>
    <w:rsid w:val="1EFB206A"/>
    <w:rsid w:val="1F7F169B"/>
    <w:rsid w:val="1FB5558B"/>
    <w:rsid w:val="1FFE1B8A"/>
    <w:rsid w:val="25AE2B52"/>
    <w:rsid w:val="26AF4898"/>
    <w:rsid w:val="26BFAA99"/>
    <w:rsid w:val="277F3C23"/>
    <w:rsid w:val="2BDE8E9E"/>
    <w:rsid w:val="2BFF5E59"/>
    <w:rsid w:val="2BFFCEF4"/>
    <w:rsid w:val="2FDF25F9"/>
    <w:rsid w:val="37BFB435"/>
    <w:rsid w:val="37F3EB5D"/>
    <w:rsid w:val="37F70A87"/>
    <w:rsid w:val="37F95ADC"/>
    <w:rsid w:val="37FF7C0C"/>
    <w:rsid w:val="3A7F4804"/>
    <w:rsid w:val="3BDC75F9"/>
    <w:rsid w:val="3C3E1E86"/>
    <w:rsid w:val="3FBE8B21"/>
    <w:rsid w:val="3FFB19CA"/>
    <w:rsid w:val="3FFD32F4"/>
    <w:rsid w:val="41BD38A9"/>
    <w:rsid w:val="47BA7F8A"/>
    <w:rsid w:val="4F6F794A"/>
    <w:rsid w:val="4FFE5593"/>
    <w:rsid w:val="518586CA"/>
    <w:rsid w:val="55B4D5D0"/>
    <w:rsid w:val="575EBC5C"/>
    <w:rsid w:val="5775019D"/>
    <w:rsid w:val="57E9D6A5"/>
    <w:rsid w:val="57F43FA8"/>
    <w:rsid w:val="59BB9BCA"/>
    <w:rsid w:val="59FFD674"/>
    <w:rsid w:val="5ABF7AE8"/>
    <w:rsid w:val="5BAD08AC"/>
    <w:rsid w:val="5BE2B319"/>
    <w:rsid w:val="5BE3B056"/>
    <w:rsid w:val="5D5AD1AA"/>
    <w:rsid w:val="5DDF8B01"/>
    <w:rsid w:val="5ECF62DF"/>
    <w:rsid w:val="5EE167BF"/>
    <w:rsid w:val="5F7B08FC"/>
    <w:rsid w:val="5FB5847C"/>
    <w:rsid w:val="5FBE8ADB"/>
    <w:rsid w:val="5FFF7920"/>
    <w:rsid w:val="65F7D3E5"/>
    <w:rsid w:val="67FBA792"/>
    <w:rsid w:val="6ACF83C6"/>
    <w:rsid w:val="6AFBB4C5"/>
    <w:rsid w:val="6BFE1054"/>
    <w:rsid w:val="6DBBFC65"/>
    <w:rsid w:val="6F5384F1"/>
    <w:rsid w:val="6F659D19"/>
    <w:rsid w:val="6F7FCE70"/>
    <w:rsid w:val="6FB7CFB7"/>
    <w:rsid w:val="6FBBA3DE"/>
    <w:rsid w:val="70FEE8F1"/>
    <w:rsid w:val="716BA2F7"/>
    <w:rsid w:val="72ECFD85"/>
    <w:rsid w:val="73F3E175"/>
    <w:rsid w:val="76EBB4B5"/>
    <w:rsid w:val="775125F5"/>
    <w:rsid w:val="77FFA235"/>
    <w:rsid w:val="77FFF40F"/>
    <w:rsid w:val="79AEEAEC"/>
    <w:rsid w:val="79F3E776"/>
    <w:rsid w:val="7AED919E"/>
    <w:rsid w:val="7AFCFFF9"/>
    <w:rsid w:val="7B673B50"/>
    <w:rsid w:val="7BFBF922"/>
    <w:rsid w:val="7C3BCF91"/>
    <w:rsid w:val="7D5F6104"/>
    <w:rsid w:val="7D5FF704"/>
    <w:rsid w:val="7DDED790"/>
    <w:rsid w:val="7DEF17EA"/>
    <w:rsid w:val="7DF2202B"/>
    <w:rsid w:val="7DF92E9D"/>
    <w:rsid w:val="7E9F3186"/>
    <w:rsid w:val="7EBF5AD0"/>
    <w:rsid w:val="7EC7E01B"/>
    <w:rsid w:val="7EFB32D1"/>
    <w:rsid w:val="7F3E130B"/>
    <w:rsid w:val="7F475CE7"/>
    <w:rsid w:val="7F4B532E"/>
    <w:rsid w:val="7F65D514"/>
    <w:rsid w:val="7F7DD9BE"/>
    <w:rsid w:val="7F7F46CE"/>
    <w:rsid w:val="7FB6EB98"/>
    <w:rsid w:val="7FBFC0E3"/>
    <w:rsid w:val="7FDBCE5C"/>
    <w:rsid w:val="7FE71D5F"/>
    <w:rsid w:val="7FEC5905"/>
    <w:rsid w:val="7FEF1744"/>
    <w:rsid w:val="7FF7AC6A"/>
    <w:rsid w:val="7FFF24F8"/>
    <w:rsid w:val="7FFF264F"/>
    <w:rsid w:val="7FFF9196"/>
    <w:rsid w:val="7FFFF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3EF38"/>
  <w15:docId w15:val="{5CD9928F-7497-4FB4-B021-840DCD1E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character" w:customStyle="1" w:styleId="a4">
    <w:name w:val="批注文字 字符"/>
    <w:basedOn w:val="a0"/>
    <w:link w:val="a3"/>
    <w:uiPriority w:val="99"/>
    <w:semiHidden/>
  </w:style>
  <w:style w:type="character" w:customStyle="1" w:styleId="a6">
    <w:name w:val="批注框文本 字符"/>
    <w:basedOn w:val="a0"/>
    <w:link w:val="a5"/>
    <w:uiPriority w:val="99"/>
    <w:semiHidden/>
    <w:rPr>
      <w:sz w:val="18"/>
      <w:szCs w:val="18"/>
    </w:rPr>
  </w:style>
  <w:style w:type="paragraph" w:styleId="ae">
    <w:name w:val="List Paragraph"/>
    <w:basedOn w:val="a"/>
    <w:uiPriority w:val="34"/>
    <w:qFormat/>
    <w:pPr>
      <w:ind w:firstLineChars="200" w:firstLine="420"/>
    </w:pPr>
  </w:style>
  <w:style w:type="character" w:customStyle="1" w:styleId="ac">
    <w:name w:val="批注主题 字符"/>
    <w:basedOn w:val="a4"/>
    <w:link w:val="ab"/>
    <w:uiPriority w:val="99"/>
    <w:semiHidden/>
    <w:rPr>
      <w:b/>
      <w:bCs/>
    </w:rPr>
  </w:style>
  <w:style w:type="character" w:customStyle="1" w:styleId="aa">
    <w:name w:val="页眉 字符"/>
    <w:basedOn w:val="a0"/>
    <w:link w:val="a9"/>
    <w:uiPriority w:val="99"/>
    <w:rPr>
      <w:kern w:val="2"/>
      <w:sz w:val="18"/>
      <w:szCs w:val="18"/>
    </w:rPr>
  </w:style>
  <w:style w:type="character" w:customStyle="1" w:styleId="a8">
    <w:name w:val="页脚 字符"/>
    <w:basedOn w:val="a0"/>
    <w:link w:val="a7"/>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477</Words>
  <Characters>2719</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魏云翔</cp:lastModifiedBy>
  <cp:revision>7</cp:revision>
  <dcterms:created xsi:type="dcterms:W3CDTF">2023-10-17T07:48:00Z</dcterms:created>
  <dcterms:modified xsi:type="dcterms:W3CDTF">2023-11-02T07:29:00Z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158CA616969E33CC465F276571B76B18_42</vt:lpwstr>
  </property>
</Properties>
</file>